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CC5B" w14:textId="77777777" w:rsidR="00823E5C" w:rsidRPr="00547AB0" w:rsidRDefault="00823E5C" w:rsidP="004E6171">
      <w:pPr>
        <w:numPr>
          <w:ilvl w:val="0"/>
          <w:numId w:val="5"/>
        </w:numPr>
        <w:outlineLvl w:val="0"/>
        <w:rPr>
          <w:rFonts w:ascii="Arial" w:hAnsi="Arial" w:cs="Arial"/>
        </w:rPr>
      </w:pPr>
      <w:r w:rsidRPr="00547AB0">
        <w:rPr>
          <w:rFonts w:ascii="Arial" w:hAnsi="Arial" w:cs="Arial"/>
        </w:rPr>
        <w:t>GENERAL</w:t>
      </w:r>
    </w:p>
    <w:p w14:paraId="3FF6A795" w14:textId="77777777" w:rsidR="00823E5C" w:rsidRPr="00547AB0" w:rsidRDefault="00823E5C" w:rsidP="0077581E">
      <w:pPr>
        <w:ind w:hanging="360"/>
        <w:rPr>
          <w:rFonts w:ascii="Arial" w:hAnsi="Arial" w:cs="Arial"/>
        </w:rPr>
      </w:pPr>
    </w:p>
    <w:p w14:paraId="7487E7E0" w14:textId="77777777" w:rsidR="00823E5C" w:rsidRPr="00A07A7C" w:rsidRDefault="00823E5C" w:rsidP="00A07A7C">
      <w:pPr>
        <w:pStyle w:val="ListParagraph"/>
        <w:numPr>
          <w:ilvl w:val="1"/>
          <w:numId w:val="5"/>
        </w:numPr>
        <w:rPr>
          <w:rFonts w:ascii="Arial" w:hAnsi="Arial" w:cs="Arial"/>
        </w:rPr>
      </w:pPr>
      <w:r w:rsidRPr="00A07A7C">
        <w:rPr>
          <w:rFonts w:ascii="Arial" w:hAnsi="Arial" w:cs="Arial"/>
        </w:rPr>
        <w:t>This specification is for the Electrical Manholes and Covers only.  Specifications for Communication Manholes and Covers are covered in the Communications and Network Systems Telecommunication Standards.  Contact UK Communications and Network Systems for a copy of their standard.</w:t>
      </w:r>
    </w:p>
    <w:p w14:paraId="1CD77A08" w14:textId="77777777" w:rsidR="00823E5C" w:rsidRPr="00547AB0" w:rsidRDefault="00823E5C" w:rsidP="0077581E">
      <w:pPr>
        <w:ind w:hanging="360"/>
        <w:rPr>
          <w:rFonts w:ascii="Arial" w:hAnsi="Arial" w:cs="Arial"/>
        </w:rPr>
      </w:pPr>
    </w:p>
    <w:p w14:paraId="11714FEA" w14:textId="77777777" w:rsidR="00823E5C" w:rsidRPr="00547AB0" w:rsidRDefault="00823E5C" w:rsidP="004E6171">
      <w:pPr>
        <w:numPr>
          <w:ilvl w:val="0"/>
          <w:numId w:val="5"/>
        </w:numPr>
        <w:outlineLvl w:val="0"/>
        <w:rPr>
          <w:rFonts w:ascii="Arial" w:hAnsi="Arial" w:cs="Arial"/>
        </w:rPr>
      </w:pPr>
      <w:r w:rsidRPr="00547AB0">
        <w:rPr>
          <w:rFonts w:ascii="Arial" w:hAnsi="Arial" w:cs="Arial"/>
        </w:rPr>
        <w:t>MATERIAL</w:t>
      </w:r>
    </w:p>
    <w:p w14:paraId="431370AA" w14:textId="77777777" w:rsidR="00823E5C" w:rsidRPr="00547AB0" w:rsidRDefault="00823E5C" w:rsidP="0077581E">
      <w:pPr>
        <w:ind w:hanging="360"/>
        <w:rPr>
          <w:rFonts w:ascii="Arial" w:hAnsi="Arial" w:cs="Arial"/>
        </w:rPr>
      </w:pPr>
    </w:p>
    <w:p w14:paraId="5BD60D7C" w14:textId="77777777" w:rsidR="00823E5C" w:rsidRPr="00547AB0" w:rsidRDefault="00823E5C" w:rsidP="00A07A7C">
      <w:pPr>
        <w:numPr>
          <w:ilvl w:val="1"/>
          <w:numId w:val="5"/>
        </w:numPr>
        <w:spacing w:after="120" w:line="276" w:lineRule="auto"/>
        <w:rPr>
          <w:rFonts w:ascii="Arial" w:hAnsi="Arial" w:cs="Arial"/>
        </w:rPr>
      </w:pPr>
      <w:r w:rsidRPr="00547AB0">
        <w:rPr>
          <w:rFonts w:ascii="Arial" w:hAnsi="Arial" w:cs="Arial"/>
        </w:rPr>
        <w:t>Electrical Manhole Structure</w:t>
      </w:r>
    </w:p>
    <w:p w14:paraId="3DD0452F"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 xml:space="preserve">New manholes shall be steel reinforced poured-in-place concrete </w:t>
      </w:r>
      <w:proofErr w:type="gramStart"/>
      <w:r w:rsidRPr="00547AB0">
        <w:rPr>
          <w:rFonts w:ascii="Arial" w:hAnsi="Arial" w:cs="Arial"/>
        </w:rPr>
        <w:t>type</w:t>
      </w:r>
      <w:proofErr w:type="gramEnd"/>
      <w:r w:rsidRPr="00547AB0">
        <w:rPr>
          <w:rFonts w:ascii="Arial" w:hAnsi="Arial" w:cs="Arial"/>
        </w:rPr>
        <w:t xml:space="preserve"> and the MINIMUM dimensions shall be 8’ wide by 12’ deep by 7’ high.  Pre-cast manholes are not allowed except for special conditions with a written statement granting permission to use a pre-cast manhole from University of Kentucky Manager of Utilities.</w:t>
      </w:r>
    </w:p>
    <w:p w14:paraId="79FAEE91" w14:textId="77777777" w:rsidR="00823E5C" w:rsidRPr="00A07A7C" w:rsidRDefault="00823E5C" w:rsidP="00A07A7C">
      <w:pPr>
        <w:pStyle w:val="ListParagraph"/>
        <w:numPr>
          <w:ilvl w:val="2"/>
          <w:numId w:val="5"/>
        </w:numPr>
        <w:spacing w:after="120" w:line="276" w:lineRule="auto"/>
        <w:rPr>
          <w:rFonts w:ascii="Arial" w:hAnsi="Arial" w:cs="Arial"/>
        </w:rPr>
      </w:pPr>
      <w:r w:rsidRPr="00A07A7C">
        <w:rPr>
          <w:rFonts w:ascii="Arial" w:hAnsi="Arial" w:cs="Arial"/>
        </w:rPr>
        <w:t>The manholes shall meet or exceed the following design criteria:</w:t>
      </w:r>
    </w:p>
    <w:tbl>
      <w:tblPr>
        <w:tblW w:w="0" w:type="auto"/>
        <w:tblInd w:w="1440" w:type="dxa"/>
        <w:tblLook w:val="01E0" w:firstRow="1" w:lastRow="1" w:firstColumn="1" w:lastColumn="1" w:noHBand="0" w:noVBand="0"/>
      </w:tblPr>
      <w:tblGrid>
        <w:gridCol w:w="1728"/>
        <w:gridCol w:w="4860"/>
      </w:tblGrid>
      <w:tr w:rsidR="00823E5C" w:rsidRPr="000819C7" w14:paraId="2CDA254D" w14:textId="77777777" w:rsidTr="000819C7">
        <w:tc>
          <w:tcPr>
            <w:tcW w:w="1728" w:type="dxa"/>
          </w:tcPr>
          <w:p w14:paraId="2A9F305B"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Earth Load</w:t>
            </w:r>
          </w:p>
        </w:tc>
        <w:tc>
          <w:tcPr>
            <w:tcW w:w="4860" w:type="dxa"/>
          </w:tcPr>
          <w:p w14:paraId="380EDA51"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 xml:space="preserve">2 Ft. fill at 130 </w:t>
            </w:r>
            <w:proofErr w:type="spellStart"/>
            <w:r w:rsidRPr="00A07A7C">
              <w:rPr>
                <w:rFonts w:ascii="Arial" w:hAnsi="Arial" w:cs="Arial"/>
              </w:rPr>
              <w:t>lb</w:t>
            </w:r>
            <w:proofErr w:type="spellEnd"/>
            <w:r w:rsidRPr="00A07A7C">
              <w:rPr>
                <w:rFonts w:ascii="Arial" w:hAnsi="Arial" w:cs="Arial"/>
              </w:rPr>
              <w:t>/</w:t>
            </w:r>
            <w:proofErr w:type="spellStart"/>
            <w:r w:rsidRPr="00A07A7C">
              <w:rPr>
                <w:rFonts w:ascii="Arial" w:hAnsi="Arial" w:cs="Arial"/>
              </w:rPr>
              <w:t>c.ft</w:t>
            </w:r>
            <w:proofErr w:type="spellEnd"/>
            <w:r w:rsidRPr="00A07A7C">
              <w:rPr>
                <w:rFonts w:ascii="Arial" w:hAnsi="Arial" w:cs="Arial"/>
              </w:rPr>
              <w:t>.</w:t>
            </w:r>
          </w:p>
        </w:tc>
      </w:tr>
      <w:tr w:rsidR="00823E5C" w:rsidRPr="000819C7" w14:paraId="19C39CF7" w14:textId="77777777" w:rsidTr="000819C7">
        <w:tc>
          <w:tcPr>
            <w:tcW w:w="1728" w:type="dxa"/>
          </w:tcPr>
          <w:p w14:paraId="47D5C693"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Surcharge</w:t>
            </w:r>
          </w:p>
        </w:tc>
        <w:tc>
          <w:tcPr>
            <w:tcW w:w="4860" w:type="dxa"/>
          </w:tcPr>
          <w:p w14:paraId="6F2FD9CE"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 xml:space="preserve">2 Ft. at 130 </w:t>
            </w:r>
            <w:proofErr w:type="spellStart"/>
            <w:r w:rsidRPr="00A07A7C">
              <w:rPr>
                <w:rFonts w:ascii="Arial" w:hAnsi="Arial" w:cs="Arial"/>
              </w:rPr>
              <w:t>lb</w:t>
            </w:r>
            <w:proofErr w:type="spellEnd"/>
            <w:r w:rsidRPr="00A07A7C">
              <w:rPr>
                <w:rFonts w:ascii="Arial" w:hAnsi="Arial" w:cs="Arial"/>
              </w:rPr>
              <w:t>/</w:t>
            </w:r>
            <w:proofErr w:type="spellStart"/>
            <w:r w:rsidRPr="00A07A7C">
              <w:rPr>
                <w:rFonts w:ascii="Arial" w:hAnsi="Arial" w:cs="Arial"/>
              </w:rPr>
              <w:t>c.ft</w:t>
            </w:r>
            <w:proofErr w:type="spellEnd"/>
            <w:r w:rsidRPr="00A07A7C">
              <w:rPr>
                <w:rFonts w:ascii="Arial" w:hAnsi="Arial" w:cs="Arial"/>
              </w:rPr>
              <w:t>.</w:t>
            </w:r>
          </w:p>
        </w:tc>
      </w:tr>
      <w:tr w:rsidR="00823E5C" w:rsidRPr="000819C7" w14:paraId="0E5B7B3D" w14:textId="77777777" w:rsidTr="000819C7">
        <w:tc>
          <w:tcPr>
            <w:tcW w:w="1728" w:type="dxa"/>
          </w:tcPr>
          <w:p w14:paraId="00695D37"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Live Load</w:t>
            </w:r>
          </w:p>
        </w:tc>
        <w:tc>
          <w:tcPr>
            <w:tcW w:w="4860" w:type="dxa"/>
          </w:tcPr>
          <w:p w14:paraId="6529C445"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AASHO H 20 truck load with 20% impact.</w:t>
            </w:r>
          </w:p>
        </w:tc>
      </w:tr>
      <w:tr w:rsidR="00823E5C" w:rsidRPr="000819C7" w14:paraId="1BA83B91" w14:textId="77777777" w:rsidTr="000819C7">
        <w:tc>
          <w:tcPr>
            <w:tcW w:w="1728" w:type="dxa"/>
          </w:tcPr>
          <w:p w14:paraId="669391CC"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fc</w:t>
            </w:r>
          </w:p>
        </w:tc>
        <w:tc>
          <w:tcPr>
            <w:tcW w:w="4860" w:type="dxa"/>
          </w:tcPr>
          <w:p w14:paraId="464D399E"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4,500 psi</w:t>
            </w:r>
          </w:p>
        </w:tc>
      </w:tr>
      <w:tr w:rsidR="00823E5C" w:rsidRPr="000819C7" w14:paraId="341E3EF8" w14:textId="77777777" w:rsidTr="000819C7">
        <w:tc>
          <w:tcPr>
            <w:tcW w:w="1728" w:type="dxa"/>
          </w:tcPr>
          <w:p w14:paraId="2001E300" w14:textId="77777777" w:rsidR="00823E5C" w:rsidRPr="00A07A7C" w:rsidRDefault="00823E5C" w:rsidP="00A07A7C">
            <w:pPr>
              <w:pStyle w:val="ListParagraph"/>
              <w:spacing w:after="120" w:line="276" w:lineRule="auto"/>
              <w:ind w:left="360"/>
              <w:rPr>
                <w:rFonts w:ascii="Arial" w:hAnsi="Arial" w:cs="Arial"/>
              </w:rPr>
            </w:pPr>
            <w:proofErr w:type="spellStart"/>
            <w:r w:rsidRPr="00A07A7C">
              <w:rPr>
                <w:rFonts w:ascii="Arial" w:hAnsi="Arial" w:cs="Arial"/>
              </w:rPr>
              <w:t>fy</w:t>
            </w:r>
            <w:proofErr w:type="spellEnd"/>
          </w:p>
        </w:tc>
        <w:tc>
          <w:tcPr>
            <w:tcW w:w="4860" w:type="dxa"/>
          </w:tcPr>
          <w:p w14:paraId="036E28C2" w14:textId="77777777" w:rsidR="00823E5C" w:rsidRPr="00A07A7C" w:rsidRDefault="00823E5C" w:rsidP="00A07A7C">
            <w:pPr>
              <w:pStyle w:val="ListParagraph"/>
              <w:spacing w:after="120" w:line="276" w:lineRule="auto"/>
              <w:ind w:left="360"/>
              <w:rPr>
                <w:rFonts w:ascii="Arial" w:hAnsi="Arial" w:cs="Arial"/>
              </w:rPr>
            </w:pPr>
            <w:r w:rsidRPr="00A07A7C">
              <w:rPr>
                <w:rFonts w:ascii="Arial" w:hAnsi="Arial" w:cs="Arial"/>
              </w:rPr>
              <w:t>60,000 psi</w:t>
            </w:r>
          </w:p>
        </w:tc>
      </w:tr>
    </w:tbl>
    <w:p w14:paraId="0762752E"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The manhole shall utilize Grade 60 reinforcing rebar tied together to provide a fully continuous cage.</w:t>
      </w:r>
    </w:p>
    <w:p w14:paraId="67362B51"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All concrete shall meet or exceed 4,500 psi compressive strength.</w:t>
      </w:r>
    </w:p>
    <w:p w14:paraId="2428B8D1"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Waterproof exterior surfaces below grade portion of sides and tops of manholes.</w:t>
      </w:r>
    </w:p>
    <w:p w14:paraId="4946DD1A"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Waterproof sealant shall be provided between manhole sections, between manhole and entrance riser castings, and between riser casting and manhole cover frame.</w:t>
      </w:r>
    </w:p>
    <w:p w14:paraId="3E9D0A9C"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The manhole shall be provided with a manufacturers warranty against leaks in the manhole resulting from cracks in the manhole structure.  The length of this warranty shall be for five years from date of installation.</w:t>
      </w:r>
    </w:p>
    <w:p w14:paraId="29ACC62F"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Manhole shall have a sump with a diameter of 18” and a depth of 18” to house the sump pump.</w:t>
      </w:r>
    </w:p>
    <w:p w14:paraId="6420234F" w14:textId="20A30480" w:rsidR="00823E5C" w:rsidRPr="00A07A7C" w:rsidRDefault="00823E5C" w:rsidP="00A07A7C">
      <w:pPr>
        <w:numPr>
          <w:ilvl w:val="2"/>
          <w:numId w:val="5"/>
        </w:numPr>
        <w:spacing w:after="120" w:line="276" w:lineRule="auto"/>
        <w:rPr>
          <w:rFonts w:ascii="Arial" w:hAnsi="Arial" w:cs="Arial"/>
        </w:rPr>
      </w:pPr>
      <w:r w:rsidRPr="00547AB0">
        <w:rPr>
          <w:rFonts w:ascii="Arial" w:hAnsi="Arial" w:cs="Arial"/>
        </w:rPr>
        <w:t>The manhole shall have two (2) vents, one high and one low, to provide for natural draft and forced air venting.  Refer to Specification drawing 16110D11 for details.</w:t>
      </w:r>
    </w:p>
    <w:p w14:paraId="3FF785BC" w14:textId="77777777" w:rsidR="00823E5C" w:rsidRPr="00547AB0" w:rsidRDefault="00823E5C" w:rsidP="00A07A7C">
      <w:pPr>
        <w:numPr>
          <w:ilvl w:val="1"/>
          <w:numId w:val="5"/>
        </w:numPr>
        <w:spacing w:after="120" w:line="276" w:lineRule="auto"/>
        <w:rPr>
          <w:rFonts w:ascii="Arial" w:hAnsi="Arial" w:cs="Arial"/>
        </w:rPr>
      </w:pPr>
      <w:r w:rsidRPr="00547AB0">
        <w:rPr>
          <w:rFonts w:ascii="Arial" w:hAnsi="Arial" w:cs="Arial"/>
        </w:rPr>
        <w:t>Hardware</w:t>
      </w:r>
    </w:p>
    <w:p w14:paraId="15D256B0"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Manhole Frames and Covers</w:t>
      </w:r>
    </w:p>
    <w:p w14:paraId="41546C2A" w14:textId="77777777" w:rsidR="00823E5C" w:rsidRPr="00A07A7C" w:rsidRDefault="00823E5C" w:rsidP="00A07A7C">
      <w:pPr>
        <w:pStyle w:val="ListParagraph"/>
        <w:numPr>
          <w:ilvl w:val="3"/>
          <w:numId w:val="5"/>
        </w:numPr>
        <w:spacing w:after="120" w:line="276" w:lineRule="auto"/>
        <w:rPr>
          <w:rFonts w:ascii="Arial" w:hAnsi="Arial" w:cs="Arial"/>
        </w:rPr>
      </w:pPr>
      <w:r w:rsidRPr="00A07A7C">
        <w:rPr>
          <w:rFonts w:ascii="Arial" w:hAnsi="Arial" w:cs="Arial"/>
        </w:rPr>
        <w:t>All manhole frames and covers shall be rated at H-20 truck load.</w:t>
      </w:r>
    </w:p>
    <w:p w14:paraId="5EC65302" w14:textId="77777777" w:rsidR="00823E5C" w:rsidRPr="00A07A7C" w:rsidRDefault="00823E5C" w:rsidP="00A07A7C">
      <w:pPr>
        <w:pStyle w:val="ListParagraph"/>
        <w:numPr>
          <w:ilvl w:val="3"/>
          <w:numId w:val="5"/>
        </w:numPr>
        <w:spacing w:after="120" w:line="276" w:lineRule="auto"/>
        <w:rPr>
          <w:rFonts w:ascii="Arial" w:hAnsi="Arial" w:cs="Arial"/>
        </w:rPr>
      </w:pPr>
      <w:r w:rsidRPr="00A07A7C">
        <w:rPr>
          <w:rFonts w:ascii="Arial" w:hAnsi="Arial" w:cs="Arial"/>
        </w:rPr>
        <w:t xml:space="preserve">All manhole covers shall be provided with </w:t>
      </w:r>
      <w:proofErr w:type="gramStart"/>
      <w:r w:rsidRPr="00A07A7C">
        <w:rPr>
          <w:rFonts w:ascii="Arial" w:hAnsi="Arial" w:cs="Arial"/>
        </w:rPr>
        <w:t>2 inch</w:t>
      </w:r>
      <w:proofErr w:type="gramEnd"/>
      <w:r w:rsidRPr="00A07A7C">
        <w:rPr>
          <w:rFonts w:ascii="Arial" w:hAnsi="Arial" w:cs="Arial"/>
        </w:rPr>
        <w:t xml:space="preserve"> lettering “ELECTRIC” and with the manhole number, assigned by University of Kentucky PPD Manager of Electrical Services, welded onto the cover if not provided by the manufacturer. </w:t>
      </w:r>
    </w:p>
    <w:p w14:paraId="796B6610" w14:textId="77777777" w:rsidR="00823E5C" w:rsidRPr="00A07A7C" w:rsidRDefault="00823E5C" w:rsidP="00A07A7C">
      <w:pPr>
        <w:pStyle w:val="ListParagraph"/>
        <w:numPr>
          <w:ilvl w:val="3"/>
          <w:numId w:val="5"/>
        </w:numPr>
        <w:spacing w:after="120" w:line="276" w:lineRule="auto"/>
        <w:rPr>
          <w:rFonts w:ascii="Arial" w:hAnsi="Arial" w:cs="Arial"/>
        </w:rPr>
      </w:pPr>
      <w:r w:rsidRPr="00A07A7C">
        <w:rPr>
          <w:rFonts w:ascii="Arial" w:hAnsi="Arial" w:cs="Arial"/>
        </w:rPr>
        <w:t>All manhole covers shall be provided with</w:t>
      </w:r>
      <w:r w:rsidR="0021763B" w:rsidRPr="00A07A7C">
        <w:rPr>
          <w:rFonts w:ascii="Arial" w:hAnsi="Arial" w:cs="Arial"/>
        </w:rPr>
        <w:t xml:space="preserve"> stainless steel</w:t>
      </w:r>
      <w:r w:rsidRPr="00A07A7C">
        <w:rPr>
          <w:rFonts w:ascii="Arial" w:hAnsi="Arial" w:cs="Arial"/>
        </w:rPr>
        <w:t xml:space="preserve"> drop handles.</w:t>
      </w:r>
    </w:p>
    <w:p w14:paraId="28377B0F"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High Traffic Areas</w:t>
      </w:r>
    </w:p>
    <w:p w14:paraId="7378C30A" w14:textId="77777777" w:rsidR="00823E5C" w:rsidRPr="00A07A7C" w:rsidRDefault="00823E5C" w:rsidP="00A07A7C">
      <w:pPr>
        <w:pStyle w:val="ListParagraph"/>
        <w:numPr>
          <w:ilvl w:val="4"/>
          <w:numId w:val="5"/>
        </w:numPr>
        <w:spacing w:after="120" w:line="276" w:lineRule="auto"/>
        <w:rPr>
          <w:rFonts w:ascii="Arial" w:hAnsi="Arial" w:cs="Arial"/>
        </w:rPr>
      </w:pPr>
      <w:r w:rsidRPr="00A07A7C">
        <w:rPr>
          <w:rFonts w:ascii="Arial" w:hAnsi="Arial" w:cs="Arial"/>
        </w:rPr>
        <w:lastRenderedPageBreak/>
        <w:t xml:space="preserve">Manhole frames and covers in high traffic areas shall be equal to Neenah Series R-1640 and shall provide a cover diameter of 32 inches.    </w:t>
      </w:r>
    </w:p>
    <w:p w14:paraId="7ADF599B"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Non-Traffic Areas</w:t>
      </w:r>
    </w:p>
    <w:p w14:paraId="657D7CA1" w14:textId="77777777" w:rsidR="00823E5C" w:rsidRPr="00A07A7C" w:rsidRDefault="00823E5C" w:rsidP="00A07A7C">
      <w:pPr>
        <w:pStyle w:val="ListParagraph"/>
        <w:numPr>
          <w:ilvl w:val="4"/>
          <w:numId w:val="5"/>
        </w:numPr>
        <w:spacing w:after="120" w:line="276" w:lineRule="auto"/>
        <w:rPr>
          <w:rFonts w:ascii="Arial" w:hAnsi="Arial" w:cs="Arial"/>
        </w:rPr>
      </w:pPr>
      <w:r w:rsidRPr="00A07A7C">
        <w:rPr>
          <w:rFonts w:ascii="Arial" w:hAnsi="Arial" w:cs="Arial"/>
        </w:rPr>
        <w:t>Flush mounted fabricated aluminum covers rated at H-20 loading shall be allowed in non-traffic areas and shall maintain a 32” diameter clear opening.</w:t>
      </w:r>
    </w:p>
    <w:p w14:paraId="1A2306EE"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 xml:space="preserve">An enclosed circuit breaker, for power needed inside the manhole, shall be a </w:t>
      </w:r>
      <w:proofErr w:type="gramStart"/>
      <w:r w:rsidRPr="00547AB0">
        <w:rPr>
          <w:rFonts w:ascii="Arial" w:hAnsi="Arial" w:cs="Arial"/>
        </w:rPr>
        <w:t>125 amp</w:t>
      </w:r>
      <w:proofErr w:type="gramEnd"/>
      <w:r w:rsidRPr="00547AB0">
        <w:rPr>
          <w:rFonts w:ascii="Arial" w:hAnsi="Arial" w:cs="Arial"/>
        </w:rPr>
        <w:t xml:space="preserve">, </w:t>
      </w:r>
      <w:proofErr w:type="gramStart"/>
      <w:r w:rsidRPr="00547AB0">
        <w:rPr>
          <w:rFonts w:ascii="Arial" w:hAnsi="Arial" w:cs="Arial"/>
        </w:rPr>
        <w:t>120/240 volt</w:t>
      </w:r>
      <w:proofErr w:type="gramEnd"/>
      <w:r w:rsidRPr="00547AB0">
        <w:rPr>
          <w:rFonts w:ascii="Arial" w:hAnsi="Arial" w:cs="Arial"/>
        </w:rPr>
        <w:t xml:space="preserve"> AC in a Thermoplastic outdoor enclosure and shall be equal to a GE TPL412RT.</w:t>
      </w:r>
    </w:p>
    <w:p w14:paraId="4CCD9527"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 xml:space="preserve">The light switch and fan switch shall be </w:t>
      </w:r>
      <w:proofErr w:type="gramStart"/>
      <w:r w:rsidRPr="00547AB0">
        <w:rPr>
          <w:rFonts w:ascii="Arial" w:hAnsi="Arial" w:cs="Arial"/>
        </w:rPr>
        <w:t>20 amp</w:t>
      </w:r>
      <w:proofErr w:type="gramEnd"/>
      <w:r w:rsidRPr="00547AB0">
        <w:rPr>
          <w:rFonts w:ascii="Arial" w:hAnsi="Arial" w:cs="Arial"/>
        </w:rPr>
        <w:t xml:space="preserve">, </w:t>
      </w:r>
      <w:proofErr w:type="gramStart"/>
      <w:r w:rsidRPr="00547AB0">
        <w:rPr>
          <w:rFonts w:ascii="Arial" w:hAnsi="Arial" w:cs="Arial"/>
        </w:rPr>
        <w:t>120 volt</w:t>
      </w:r>
      <w:proofErr w:type="gramEnd"/>
      <w:r w:rsidRPr="00547AB0">
        <w:rPr>
          <w:rFonts w:ascii="Arial" w:hAnsi="Arial" w:cs="Arial"/>
        </w:rPr>
        <w:t xml:space="preserve"> devices with Crouse Hinds DS185 covers, or equal, in a rain tight device box mounted near the manhole opening for easy access from outside the manhole.</w:t>
      </w:r>
    </w:p>
    <w:p w14:paraId="05DFD7F5"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The light fixture shall be a ceiling mounted vapor tight fluorescent unit equal to Lithonia DM 2 32 MVOLT GEB10IS.</w:t>
      </w:r>
    </w:p>
    <w:p w14:paraId="776C7CDC"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The exhaust fan shall meet OSHA requirements.</w:t>
      </w:r>
    </w:p>
    <w:p w14:paraId="17FF003B"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 xml:space="preserve">A </w:t>
      </w:r>
      <w:proofErr w:type="gramStart"/>
      <w:r w:rsidRPr="00547AB0">
        <w:rPr>
          <w:rFonts w:ascii="Arial" w:hAnsi="Arial" w:cs="Arial"/>
        </w:rPr>
        <w:t>20 amp</w:t>
      </w:r>
      <w:proofErr w:type="gramEnd"/>
      <w:r w:rsidRPr="00547AB0">
        <w:rPr>
          <w:rFonts w:ascii="Arial" w:hAnsi="Arial" w:cs="Arial"/>
        </w:rPr>
        <w:t xml:space="preserve">, </w:t>
      </w:r>
      <w:proofErr w:type="gramStart"/>
      <w:r w:rsidRPr="00547AB0">
        <w:rPr>
          <w:rFonts w:ascii="Arial" w:hAnsi="Arial" w:cs="Arial"/>
        </w:rPr>
        <w:t>120 volt</w:t>
      </w:r>
      <w:proofErr w:type="gramEnd"/>
      <w:r w:rsidRPr="00547AB0">
        <w:rPr>
          <w:rFonts w:ascii="Arial" w:hAnsi="Arial" w:cs="Arial"/>
        </w:rPr>
        <w:t xml:space="preserve"> GFCI duplex receptacle and a single twist lock L5-20R </w:t>
      </w:r>
      <w:proofErr w:type="gramStart"/>
      <w:r w:rsidRPr="00547AB0">
        <w:rPr>
          <w:rFonts w:ascii="Arial" w:hAnsi="Arial" w:cs="Arial"/>
        </w:rPr>
        <w:t>20 amp</w:t>
      </w:r>
      <w:proofErr w:type="gramEnd"/>
      <w:r w:rsidRPr="00547AB0">
        <w:rPr>
          <w:rFonts w:ascii="Arial" w:hAnsi="Arial" w:cs="Arial"/>
        </w:rPr>
        <w:t xml:space="preserve"> </w:t>
      </w:r>
      <w:proofErr w:type="gramStart"/>
      <w:r w:rsidRPr="00547AB0">
        <w:rPr>
          <w:rFonts w:ascii="Arial" w:hAnsi="Arial" w:cs="Arial"/>
        </w:rPr>
        <w:t>120 volt</w:t>
      </w:r>
      <w:proofErr w:type="gramEnd"/>
      <w:r w:rsidRPr="00547AB0">
        <w:rPr>
          <w:rFonts w:ascii="Arial" w:hAnsi="Arial" w:cs="Arial"/>
        </w:rPr>
        <w:t xml:space="preserve"> receptacle, NOT GFCI protected, for the manhole sump pump shall be mounted in a weatherproof box with an in-use covers near the top of the manhole.</w:t>
      </w:r>
    </w:p>
    <w:p w14:paraId="2CB89819"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The pump shall be equal to or better than a Zoeller Model 98 cast iron series.  Pump shall include the following features:</w:t>
      </w:r>
    </w:p>
    <w:p w14:paraId="40AFC78E" w14:textId="77777777" w:rsidR="00823E5C" w:rsidRPr="00547AB0" w:rsidRDefault="00823E5C" w:rsidP="00A07A7C">
      <w:pPr>
        <w:numPr>
          <w:ilvl w:val="3"/>
          <w:numId w:val="5"/>
        </w:numPr>
        <w:spacing w:after="120" w:line="276" w:lineRule="auto"/>
        <w:rPr>
          <w:rFonts w:ascii="Arial" w:hAnsi="Arial" w:cs="Arial"/>
        </w:rPr>
      </w:pPr>
      <w:proofErr w:type="gramStart"/>
      <w:r w:rsidRPr="00547AB0">
        <w:rPr>
          <w:rFonts w:ascii="Arial" w:hAnsi="Arial" w:cs="Arial"/>
        </w:rPr>
        <w:t>120 volt</w:t>
      </w:r>
      <w:proofErr w:type="gramEnd"/>
      <w:r w:rsidRPr="00547AB0">
        <w:rPr>
          <w:rFonts w:ascii="Arial" w:hAnsi="Arial" w:cs="Arial"/>
        </w:rPr>
        <w:t xml:space="preserve"> motor with a twist lock L5-20R plug.</w:t>
      </w:r>
    </w:p>
    <w:p w14:paraId="32876F93"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Non clogging vortex impeller design.</w:t>
      </w:r>
    </w:p>
    <w:p w14:paraId="10D01DD7"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 xml:space="preserve">Cast switch case, motor and pump housing, base and impeller. (No </w:t>
      </w:r>
      <w:proofErr w:type="gramStart"/>
      <w:r w:rsidRPr="00547AB0">
        <w:rPr>
          <w:rFonts w:ascii="Arial" w:hAnsi="Arial" w:cs="Arial"/>
        </w:rPr>
        <w:t>sheet</w:t>
      </w:r>
      <w:proofErr w:type="gramEnd"/>
      <w:r w:rsidRPr="00547AB0">
        <w:rPr>
          <w:rFonts w:ascii="Arial" w:hAnsi="Arial" w:cs="Arial"/>
        </w:rPr>
        <w:t xml:space="preserve"> metal parts will be acceptable)</w:t>
      </w:r>
    </w:p>
    <w:p w14:paraId="1B1586DE"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Stainless steel screws, float rod, guard, handle and arm and seal assembly</w:t>
      </w:r>
    </w:p>
    <w:p w14:paraId="23E3AA3F"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Float operated submersible (NEMA 6) two pole mechanical switch.</w:t>
      </w:r>
    </w:p>
    <w:p w14:paraId="7007042E"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Oil filled motor hermetically sealed.</w:t>
      </w:r>
    </w:p>
    <w:p w14:paraId="58385BFC"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Automatic reset thermal overload protection.</w:t>
      </w:r>
    </w:p>
    <w:p w14:paraId="052DB562"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Watertight neoprene ring between motor and pump housing.</w:t>
      </w:r>
    </w:p>
    <w:p w14:paraId="4594141E"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Capable of passing 1/2" solids.</w:t>
      </w:r>
    </w:p>
    <w:p w14:paraId="5CD4A07C" w14:textId="77777777" w:rsidR="00823E5C" w:rsidRPr="00547AB0" w:rsidRDefault="00823E5C" w:rsidP="00A07A7C">
      <w:pPr>
        <w:numPr>
          <w:ilvl w:val="3"/>
          <w:numId w:val="5"/>
        </w:numPr>
        <w:spacing w:after="120" w:line="276" w:lineRule="auto"/>
        <w:rPr>
          <w:rFonts w:ascii="Arial" w:hAnsi="Arial" w:cs="Arial"/>
        </w:rPr>
      </w:pPr>
      <w:r w:rsidRPr="00547AB0">
        <w:rPr>
          <w:rFonts w:ascii="Arial" w:hAnsi="Arial" w:cs="Arial"/>
        </w:rPr>
        <w:t xml:space="preserve">1 </w:t>
      </w:r>
      <w:proofErr w:type="gramStart"/>
      <w:r w:rsidRPr="00547AB0">
        <w:rPr>
          <w:rFonts w:ascii="Arial" w:hAnsi="Arial" w:cs="Arial"/>
        </w:rPr>
        <w:t>1/2 inch</w:t>
      </w:r>
      <w:proofErr w:type="gramEnd"/>
      <w:r w:rsidRPr="00547AB0">
        <w:rPr>
          <w:rFonts w:ascii="Arial" w:hAnsi="Arial" w:cs="Arial"/>
        </w:rPr>
        <w:t xml:space="preserve"> NPT discharge.</w:t>
      </w:r>
    </w:p>
    <w:p w14:paraId="641D89DD"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A minimum of one wire pulling eye per short wall and two wire pulling eyes per long wall opposite each duct entry.</w:t>
      </w:r>
    </w:p>
    <w:p w14:paraId="5C3ED4CD"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 xml:space="preserve">The 15 KV medium voltage cable shall be supported by thermoplastic elastomer cable clamps.  The supports shall be Cooper B-Line </w:t>
      </w:r>
      <w:proofErr w:type="spellStart"/>
      <w:r w:rsidRPr="00547AB0">
        <w:rPr>
          <w:rFonts w:ascii="Arial" w:hAnsi="Arial" w:cs="Arial"/>
        </w:rPr>
        <w:t>Insulclamp</w:t>
      </w:r>
      <w:proofErr w:type="spellEnd"/>
      <w:r w:rsidRPr="00547AB0">
        <w:rPr>
          <w:rFonts w:ascii="Arial" w:hAnsi="Arial" w:cs="Arial"/>
        </w:rPr>
        <w:t>® Cable Clamps, or an approved equal, appropriately sized for the cables.</w:t>
      </w:r>
    </w:p>
    <w:p w14:paraId="71769D6D"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All hardware shall be galvanized or stainless.</w:t>
      </w:r>
    </w:p>
    <w:p w14:paraId="6E826072"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Provide a minimum of 2 grounding electrodes in each manhole.  Size in accordance with NEC but minimum size shall be 5/8" by 8' copper clad ground rod.</w:t>
      </w:r>
    </w:p>
    <w:p w14:paraId="1ABAED60" w14:textId="77777777" w:rsidR="00823E5C" w:rsidRPr="00547AB0" w:rsidRDefault="00823E5C" w:rsidP="00A07A7C">
      <w:pPr>
        <w:numPr>
          <w:ilvl w:val="2"/>
          <w:numId w:val="5"/>
        </w:numPr>
        <w:spacing w:after="120" w:line="276" w:lineRule="auto"/>
        <w:rPr>
          <w:rFonts w:ascii="Arial" w:hAnsi="Arial" w:cs="Arial"/>
        </w:rPr>
      </w:pPr>
      <w:r w:rsidRPr="00547AB0">
        <w:rPr>
          <w:rFonts w:ascii="Arial" w:hAnsi="Arial" w:cs="Arial"/>
        </w:rPr>
        <w:t>Provide Bell Ends on conduit.</w:t>
      </w:r>
    </w:p>
    <w:p w14:paraId="4E986BD3" w14:textId="0F3C6207" w:rsidR="00823E5C" w:rsidRPr="00A07A7C" w:rsidRDefault="00823E5C" w:rsidP="00A07A7C">
      <w:pPr>
        <w:numPr>
          <w:ilvl w:val="2"/>
          <w:numId w:val="5"/>
        </w:numPr>
        <w:spacing w:after="120" w:line="276" w:lineRule="auto"/>
        <w:rPr>
          <w:rFonts w:ascii="Arial" w:hAnsi="Arial" w:cs="Arial"/>
        </w:rPr>
      </w:pPr>
      <w:r w:rsidRPr="00547AB0">
        <w:rPr>
          <w:rFonts w:ascii="Arial" w:hAnsi="Arial" w:cs="Arial"/>
        </w:rPr>
        <w:lastRenderedPageBreak/>
        <w:t>Manhole ladder and ladder extensions shall be Halliday Products LD1 and LE1, respectively, or equal.</w:t>
      </w:r>
    </w:p>
    <w:p w14:paraId="486D6B46" w14:textId="77777777" w:rsidR="00823E5C" w:rsidRPr="00547AB0" w:rsidRDefault="00823E5C" w:rsidP="004E6171">
      <w:pPr>
        <w:numPr>
          <w:ilvl w:val="0"/>
          <w:numId w:val="5"/>
        </w:numPr>
        <w:outlineLvl w:val="0"/>
        <w:rPr>
          <w:rFonts w:ascii="Arial" w:hAnsi="Arial" w:cs="Arial"/>
        </w:rPr>
      </w:pPr>
      <w:r w:rsidRPr="00547AB0">
        <w:rPr>
          <w:rFonts w:ascii="Arial" w:hAnsi="Arial" w:cs="Arial"/>
        </w:rPr>
        <w:t>INSTALLATION</w:t>
      </w:r>
    </w:p>
    <w:p w14:paraId="28B92C4E" w14:textId="77777777" w:rsidR="00823E5C" w:rsidRPr="00547AB0" w:rsidRDefault="00823E5C" w:rsidP="0077581E">
      <w:pPr>
        <w:ind w:hanging="360"/>
        <w:rPr>
          <w:rFonts w:ascii="Arial" w:hAnsi="Arial" w:cs="Arial"/>
        </w:rPr>
      </w:pPr>
    </w:p>
    <w:p w14:paraId="62E577F0" w14:textId="77777777" w:rsidR="00823E5C" w:rsidRPr="00547AB0" w:rsidRDefault="00823E5C" w:rsidP="00A07A7C">
      <w:pPr>
        <w:numPr>
          <w:ilvl w:val="1"/>
          <w:numId w:val="5"/>
        </w:numPr>
        <w:spacing w:after="120" w:line="276" w:lineRule="auto"/>
        <w:rPr>
          <w:rFonts w:ascii="Arial" w:hAnsi="Arial" w:cs="Arial"/>
        </w:rPr>
      </w:pPr>
      <w:r w:rsidRPr="00547AB0">
        <w:rPr>
          <w:rFonts w:ascii="Arial" w:hAnsi="Arial" w:cs="Arial"/>
        </w:rPr>
        <w:t>All low voltage wiring in manholes shall be in Schedule 40 PVC conduit.</w:t>
      </w:r>
    </w:p>
    <w:p w14:paraId="18371698" w14:textId="77777777" w:rsidR="00823E5C" w:rsidRPr="00547AB0" w:rsidRDefault="00823E5C" w:rsidP="00A07A7C">
      <w:pPr>
        <w:numPr>
          <w:ilvl w:val="1"/>
          <w:numId w:val="5"/>
        </w:numPr>
        <w:spacing w:after="120" w:line="276" w:lineRule="auto"/>
        <w:rPr>
          <w:rFonts w:ascii="Arial" w:hAnsi="Arial" w:cs="Arial"/>
        </w:rPr>
      </w:pPr>
      <w:r w:rsidRPr="00547AB0">
        <w:rPr>
          <w:rFonts w:ascii="Arial" w:hAnsi="Arial" w:cs="Arial"/>
        </w:rPr>
        <w:t>Junction boxes shall be rigid nonmetallic PVC with gasket.</w:t>
      </w:r>
    </w:p>
    <w:p w14:paraId="146A87FC" w14:textId="77777777" w:rsidR="00823E5C" w:rsidRPr="00547AB0" w:rsidRDefault="00823E5C" w:rsidP="00A07A7C">
      <w:pPr>
        <w:numPr>
          <w:ilvl w:val="1"/>
          <w:numId w:val="5"/>
        </w:numPr>
        <w:spacing w:after="120" w:line="276" w:lineRule="auto"/>
        <w:rPr>
          <w:rFonts w:ascii="Arial" w:hAnsi="Arial" w:cs="Arial"/>
        </w:rPr>
      </w:pPr>
      <w:r w:rsidRPr="00547AB0">
        <w:rPr>
          <w:rFonts w:ascii="Arial" w:hAnsi="Arial" w:cs="Arial"/>
        </w:rPr>
        <w:t xml:space="preserve">All </w:t>
      </w:r>
      <w:proofErr w:type="gramStart"/>
      <w:r w:rsidRPr="00547AB0">
        <w:rPr>
          <w:rFonts w:ascii="Arial" w:hAnsi="Arial" w:cs="Arial"/>
        </w:rPr>
        <w:t>non current</w:t>
      </w:r>
      <w:proofErr w:type="gramEnd"/>
      <w:r w:rsidRPr="00547AB0">
        <w:rPr>
          <w:rFonts w:ascii="Arial" w:hAnsi="Arial" w:cs="Arial"/>
        </w:rPr>
        <w:t xml:space="preserve"> carrying metal parts of the manhole shall be grounded.</w:t>
      </w:r>
    </w:p>
    <w:p w14:paraId="32163270" w14:textId="5F3129BF" w:rsidR="004E6171" w:rsidRDefault="004E6171">
      <w:pPr>
        <w:rPr>
          <w:rFonts w:ascii="Arial" w:hAnsi="Arial" w:cs="Arial"/>
        </w:rPr>
      </w:pPr>
    </w:p>
    <w:p w14:paraId="45DA309D" w14:textId="77777777" w:rsidR="004E6171" w:rsidRDefault="004E6171">
      <w:pPr>
        <w:rPr>
          <w:rFonts w:ascii="Arial" w:hAnsi="Arial" w:cs="Arial"/>
        </w:rPr>
      </w:pPr>
    </w:p>
    <w:p w14:paraId="1D815ABC" w14:textId="77777777" w:rsidR="004E6171" w:rsidRDefault="004E6171">
      <w:pPr>
        <w:rPr>
          <w:rFonts w:ascii="Arial" w:hAnsi="Arial" w:cs="Arial"/>
        </w:rPr>
      </w:pPr>
    </w:p>
    <w:p w14:paraId="1AF92CCB" w14:textId="77777777" w:rsidR="004E6171" w:rsidRDefault="004E6171">
      <w:pPr>
        <w:rPr>
          <w:rFonts w:ascii="Arial" w:hAnsi="Arial" w:cs="Arial"/>
        </w:rPr>
      </w:pPr>
    </w:p>
    <w:p w14:paraId="56C6F365" w14:textId="77777777" w:rsidR="004E6171" w:rsidRDefault="004E6171">
      <w:pPr>
        <w:rPr>
          <w:rFonts w:ascii="Arial" w:hAnsi="Arial" w:cs="Arial"/>
        </w:rPr>
      </w:pPr>
    </w:p>
    <w:p w14:paraId="7009DF24" w14:textId="77777777" w:rsidR="004E6171" w:rsidRDefault="004E6171">
      <w:pPr>
        <w:rPr>
          <w:rFonts w:ascii="Arial" w:hAnsi="Arial" w:cs="Arial"/>
        </w:rPr>
      </w:pPr>
    </w:p>
    <w:p w14:paraId="4A44D0A6" w14:textId="77777777" w:rsidR="004E6171" w:rsidRDefault="004E6171">
      <w:pPr>
        <w:rPr>
          <w:rFonts w:ascii="Arial" w:hAnsi="Arial" w:cs="Arial"/>
        </w:rPr>
      </w:pPr>
    </w:p>
    <w:p w14:paraId="065B6903" w14:textId="77777777" w:rsidR="004E6171" w:rsidRDefault="004E6171">
      <w:pPr>
        <w:rPr>
          <w:rFonts w:ascii="Arial" w:hAnsi="Arial" w:cs="Arial"/>
        </w:rPr>
      </w:pPr>
    </w:p>
    <w:p w14:paraId="5EAE3618" w14:textId="77777777" w:rsidR="004E6171" w:rsidRDefault="004E6171">
      <w:pPr>
        <w:rPr>
          <w:rFonts w:ascii="Arial" w:hAnsi="Arial" w:cs="Arial"/>
        </w:rPr>
      </w:pPr>
    </w:p>
    <w:p w14:paraId="21D5F6CB" w14:textId="77777777" w:rsidR="004E6171" w:rsidRDefault="004E6171" w:rsidP="004E6171">
      <w:pPr>
        <w:ind w:left="-360"/>
        <w:rPr>
          <w:rFonts w:ascii="Arial" w:hAnsi="Arial" w:cs="Arial"/>
        </w:rPr>
      </w:pPr>
    </w:p>
    <w:p w14:paraId="75B6B134" w14:textId="77777777" w:rsidR="004E6171" w:rsidRPr="004E6171" w:rsidRDefault="004E6171" w:rsidP="004E6171">
      <w:pPr>
        <w:ind w:left="-360"/>
        <w:rPr>
          <w:rFonts w:ascii="Arial" w:hAnsi="Arial" w:cs="Arial"/>
          <w:i/>
          <w:iCs/>
        </w:rPr>
      </w:pPr>
      <w:r w:rsidRPr="004E6171">
        <w:rPr>
          <w:rFonts w:ascii="Arial" w:hAnsi="Arial" w:cs="Arial"/>
          <w:i/>
          <w:iCs/>
        </w:rPr>
        <w:t xml:space="preserve">This document has been reformatted to meet current ADA digital accessibility requirements. No changes </w:t>
      </w:r>
    </w:p>
    <w:p w14:paraId="740C6D52" w14:textId="7F93516A" w:rsidR="004E6171" w:rsidRPr="004E6171" w:rsidRDefault="004E6171" w:rsidP="004E6171">
      <w:pPr>
        <w:ind w:left="-360"/>
        <w:rPr>
          <w:rFonts w:ascii="Arial" w:hAnsi="Arial" w:cs="Arial"/>
          <w:i/>
          <w:iCs/>
        </w:rPr>
      </w:pPr>
      <w:r w:rsidRPr="004E6171">
        <w:rPr>
          <w:rFonts w:ascii="Arial" w:hAnsi="Arial" w:cs="Arial"/>
          <w:i/>
          <w:iCs/>
        </w:rPr>
        <w:t>have been made to the technical content from the previously posted version.</w:t>
      </w:r>
    </w:p>
    <w:p w14:paraId="51A75BD9" w14:textId="77777777" w:rsidR="004E6171" w:rsidRPr="004E6171" w:rsidRDefault="004E6171">
      <w:pPr>
        <w:rPr>
          <w:rFonts w:ascii="Arial" w:hAnsi="Arial" w:cs="Arial"/>
          <w:i/>
          <w:iCs/>
        </w:rPr>
      </w:pPr>
      <w:r w:rsidRPr="004E6171">
        <w:rPr>
          <w:rFonts w:ascii="Arial" w:hAnsi="Arial" w:cs="Arial"/>
          <w:i/>
          <w:iCs/>
        </w:rPr>
        <w:br w:type="page"/>
      </w:r>
    </w:p>
    <w:p w14:paraId="186541A0" w14:textId="77777777" w:rsidR="004E6171" w:rsidRDefault="004E6171" w:rsidP="004E6171">
      <w:pPr>
        <w:rPr>
          <w:rFonts w:ascii="Arial" w:hAnsi="Arial" w:cs="Arial"/>
        </w:rPr>
      </w:pPr>
    </w:p>
    <w:tbl>
      <w:tblPr>
        <w:tblStyle w:val="TableGrid"/>
        <w:tblW w:w="9715" w:type="dxa"/>
        <w:tblInd w:w="-545" w:type="dxa"/>
        <w:tblLook w:val="04A0" w:firstRow="1" w:lastRow="0" w:firstColumn="1" w:lastColumn="0" w:noHBand="0" w:noVBand="1"/>
      </w:tblPr>
      <w:tblGrid>
        <w:gridCol w:w="2425"/>
        <w:gridCol w:w="1080"/>
        <w:gridCol w:w="6210"/>
      </w:tblGrid>
      <w:tr w:rsidR="00A07A7C" w:rsidRPr="008E547D" w14:paraId="67627F5B" w14:textId="77777777" w:rsidTr="00A07A7C">
        <w:tc>
          <w:tcPr>
            <w:tcW w:w="2425" w:type="dxa"/>
            <w:vAlign w:val="center"/>
          </w:tcPr>
          <w:p w14:paraId="2B10CCD8" w14:textId="77777777" w:rsidR="00A07A7C" w:rsidRPr="008E547D" w:rsidRDefault="00A07A7C" w:rsidP="00FA6646">
            <w:pPr>
              <w:ind w:hanging="30"/>
              <w:jc w:val="center"/>
              <w:rPr>
                <w:rFonts w:ascii="Arial" w:hAnsi="Arial" w:cs="Arial"/>
                <w:b/>
                <w:bCs/>
              </w:rPr>
            </w:pPr>
            <w:r w:rsidRPr="008E547D">
              <w:rPr>
                <w:rFonts w:ascii="Arial" w:hAnsi="Arial" w:cs="Arial"/>
                <w:b/>
                <w:bCs/>
              </w:rPr>
              <w:t>REVISION DATE</w:t>
            </w:r>
          </w:p>
        </w:tc>
        <w:tc>
          <w:tcPr>
            <w:tcW w:w="1080" w:type="dxa"/>
            <w:vAlign w:val="center"/>
          </w:tcPr>
          <w:p w14:paraId="3E8F3D61" w14:textId="77777777" w:rsidR="00A07A7C" w:rsidRPr="008E547D" w:rsidRDefault="00A07A7C" w:rsidP="00FA6646">
            <w:pPr>
              <w:jc w:val="center"/>
              <w:rPr>
                <w:rFonts w:ascii="Arial" w:hAnsi="Arial" w:cs="Arial"/>
                <w:b/>
                <w:bCs/>
              </w:rPr>
            </w:pPr>
            <w:r w:rsidRPr="008E547D">
              <w:rPr>
                <w:rFonts w:ascii="Arial" w:hAnsi="Arial" w:cs="Arial"/>
                <w:b/>
                <w:bCs/>
              </w:rPr>
              <w:t>PAGES</w:t>
            </w:r>
          </w:p>
        </w:tc>
        <w:tc>
          <w:tcPr>
            <w:tcW w:w="6210" w:type="dxa"/>
            <w:vAlign w:val="center"/>
          </w:tcPr>
          <w:p w14:paraId="183293F3" w14:textId="77777777" w:rsidR="00A07A7C" w:rsidRPr="008E547D" w:rsidRDefault="00A07A7C" w:rsidP="00FA6646">
            <w:pPr>
              <w:ind w:hanging="14"/>
              <w:jc w:val="center"/>
              <w:rPr>
                <w:rFonts w:ascii="Arial" w:hAnsi="Arial" w:cs="Arial"/>
                <w:b/>
                <w:bCs/>
              </w:rPr>
            </w:pPr>
            <w:r w:rsidRPr="008E547D">
              <w:rPr>
                <w:rFonts w:ascii="Arial" w:hAnsi="Arial" w:cs="Arial"/>
                <w:b/>
                <w:bCs/>
              </w:rPr>
              <w:t>REMARKS</w:t>
            </w:r>
          </w:p>
        </w:tc>
      </w:tr>
      <w:tr w:rsidR="00A07A7C" w:rsidRPr="008E547D" w14:paraId="5E8FC4B2" w14:textId="77777777" w:rsidTr="00A07A7C">
        <w:tc>
          <w:tcPr>
            <w:tcW w:w="2425" w:type="dxa"/>
            <w:vAlign w:val="center"/>
          </w:tcPr>
          <w:p w14:paraId="48BCBB19" w14:textId="46100D90" w:rsidR="00A07A7C" w:rsidRPr="008E547D" w:rsidRDefault="00A07A7C" w:rsidP="00FA6646">
            <w:pPr>
              <w:jc w:val="center"/>
              <w:rPr>
                <w:rFonts w:ascii="Arial" w:hAnsi="Arial" w:cs="Arial"/>
              </w:rPr>
            </w:pPr>
            <w:r>
              <w:rPr>
                <w:rFonts w:ascii="Arial" w:hAnsi="Arial" w:cs="Arial"/>
              </w:rPr>
              <w:t>March 30, 2026</w:t>
            </w:r>
          </w:p>
        </w:tc>
        <w:tc>
          <w:tcPr>
            <w:tcW w:w="1080" w:type="dxa"/>
            <w:vAlign w:val="center"/>
          </w:tcPr>
          <w:p w14:paraId="0B627D49" w14:textId="32414753" w:rsidR="00A07A7C" w:rsidRPr="008E547D" w:rsidRDefault="00A07A7C" w:rsidP="00FA6646">
            <w:pPr>
              <w:jc w:val="center"/>
              <w:rPr>
                <w:rFonts w:ascii="Arial" w:hAnsi="Arial" w:cs="Arial"/>
              </w:rPr>
            </w:pPr>
            <w:r>
              <w:rPr>
                <w:rFonts w:ascii="Arial" w:hAnsi="Arial" w:cs="Arial"/>
              </w:rPr>
              <w:t>All</w:t>
            </w:r>
          </w:p>
        </w:tc>
        <w:tc>
          <w:tcPr>
            <w:tcW w:w="6210" w:type="dxa"/>
            <w:vAlign w:val="center"/>
          </w:tcPr>
          <w:p w14:paraId="3C264A50" w14:textId="77777777" w:rsidR="004E6171" w:rsidRDefault="004E6171" w:rsidP="00FA6646">
            <w:pPr>
              <w:jc w:val="center"/>
              <w:rPr>
                <w:rFonts w:ascii="Arial" w:hAnsi="Arial" w:cs="Arial"/>
              </w:rPr>
            </w:pPr>
            <w:r>
              <w:rPr>
                <w:rFonts w:ascii="Arial" w:hAnsi="Arial" w:cs="Arial"/>
              </w:rPr>
              <w:t>Reformatted</w:t>
            </w:r>
          </w:p>
          <w:p w14:paraId="5C6D0CC5" w14:textId="17F1AC1D" w:rsidR="00A07A7C" w:rsidRPr="008E547D" w:rsidRDefault="004E6171" w:rsidP="00FA6646">
            <w:pPr>
              <w:jc w:val="center"/>
              <w:rPr>
                <w:rFonts w:ascii="Arial" w:hAnsi="Arial" w:cs="Arial"/>
              </w:rPr>
            </w:pPr>
            <w:r>
              <w:rPr>
                <w:rFonts w:ascii="Arial" w:hAnsi="Arial" w:cs="Arial"/>
              </w:rPr>
              <w:t>Verified document meets ADA Digital Accessibility Requirements</w:t>
            </w:r>
            <w:r w:rsidR="00A07A7C" w:rsidRPr="008E547D">
              <w:rPr>
                <w:rFonts w:ascii="Arial" w:hAnsi="Arial" w:cs="Arial"/>
              </w:rPr>
              <w:t xml:space="preserve"> </w:t>
            </w:r>
          </w:p>
        </w:tc>
      </w:tr>
    </w:tbl>
    <w:p w14:paraId="670F4DC9" w14:textId="77777777" w:rsidR="0018167C" w:rsidRPr="00547AB0" w:rsidRDefault="0018167C" w:rsidP="0077581E">
      <w:pPr>
        <w:ind w:hanging="360"/>
        <w:rPr>
          <w:rFonts w:ascii="Arial" w:hAnsi="Arial" w:cs="Arial"/>
        </w:rPr>
      </w:pPr>
    </w:p>
    <w:sectPr w:rsidR="0018167C" w:rsidRPr="00547AB0" w:rsidSect="0037205E">
      <w:headerReference w:type="default" r:id="rId7"/>
      <w:footerReference w:type="default" r:id="rId8"/>
      <w:pgSz w:w="12240" w:h="15840"/>
      <w:pgMar w:top="1440" w:right="1080" w:bottom="1440" w:left="1800" w:header="72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1A5C" w14:textId="77777777" w:rsidR="004F1947" w:rsidRDefault="004F1947">
      <w:r>
        <w:separator/>
      </w:r>
    </w:p>
  </w:endnote>
  <w:endnote w:type="continuationSeparator" w:id="0">
    <w:p w14:paraId="1280A35A" w14:textId="77777777" w:rsidR="004F1947" w:rsidRDefault="004F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862D" w14:textId="77777777" w:rsidR="0037205E" w:rsidRDefault="0037205E" w:rsidP="004E6171">
    <w:pPr>
      <w:pStyle w:val="Footer"/>
      <w:rPr>
        <w:rFonts w:ascii="Arial" w:hAnsi="Arial" w:cs="Arial"/>
      </w:rPr>
    </w:pPr>
  </w:p>
  <w:p w14:paraId="573CEB78" w14:textId="083B786F" w:rsidR="0037205E" w:rsidRPr="006A73EA" w:rsidRDefault="004E6171" w:rsidP="004E6171">
    <w:pPr>
      <w:pStyle w:val="Footer"/>
      <w:tabs>
        <w:tab w:val="clear" w:pos="8640"/>
        <w:tab w:val="right" w:pos="9360"/>
      </w:tabs>
      <w:ind w:left="-360"/>
      <w:rPr>
        <w:rFonts w:ascii="Arial" w:hAnsi="Arial" w:cs="Arial"/>
      </w:rPr>
    </w:pPr>
    <w:r>
      <w:rPr>
        <w:rFonts w:ascii="Arial" w:hAnsi="Arial" w:cs="Arial"/>
      </w:rPr>
      <w:t>330513S01 | Electrical Manholes and Structures</w:t>
    </w:r>
    <w:r w:rsidR="0037205E" w:rsidRPr="006A73EA">
      <w:rPr>
        <w:rFonts w:ascii="Arial" w:hAnsi="Arial" w:cs="Arial"/>
      </w:rPr>
      <w:tab/>
    </w:r>
    <w:r w:rsidR="0037205E">
      <w:rPr>
        <w:rFonts w:ascii="Arial" w:hAnsi="Arial" w:cs="Arial"/>
      </w:rPr>
      <w:tab/>
    </w:r>
    <w:r w:rsidR="0037205E" w:rsidRPr="006A73EA">
      <w:rPr>
        <w:rFonts w:ascii="Arial" w:hAnsi="Arial" w:cs="Arial"/>
      </w:rPr>
      <w:t xml:space="preserve">Page | </w:t>
    </w:r>
    <w:r w:rsidR="0037205E" w:rsidRPr="006A73EA">
      <w:rPr>
        <w:rFonts w:ascii="Arial" w:hAnsi="Arial" w:cs="Arial"/>
      </w:rPr>
      <w:fldChar w:fldCharType="begin"/>
    </w:r>
    <w:r w:rsidR="0037205E" w:rsidRPr="006A73EA">
      <w:rPr>
        <w:rFonts w:ascii="Arial" w:hAnsi="Arial" w:cs="Arial"/>
      </w:rPr>
      <w:instrText xml:space="preserve"> PAGE   \* MERGEFORMAT </w:instrText>
    </w:r>
    <w:r w:rsidR="0037205E" w:rsidRPr="006A73EA">
      <w:rPr>
        <w:rFonts w:ascii="Arial" w:hAnsi="Arial" w:cs="Arial"/>
      </w:rPr>
      <w:fldChar w:fldCharType="separate"/>
    </w:r>
    <w:r w:rsidR="0037205E">
      <w:rPr>
        <w:rFonts w:ascii="Arial" w:hAnsi="Arial" w:cs="Arial"/>
      </w:rPr>
      <w:t>18</w:t>
    </w:r>
    <w:r w:rsidR="0037205E" w:rsidRPr="006A73EA">
      <w:rPr>
        <w:rFonts w:ascii="Arial" w:hAnsi="Arial" w:cs="Arial"/>
        <w:noProof/>
      </w:rPr>
      <w:fldChar w:fldCharType="end"/>
    </w:r>
  </w:p>
  <w:p w14:paraId="572242E5" w14:textId="77777777" w:rsidR="0037205E" w:rsidRPr="006A73EA" w:rsidRDefault="0037205E" w:rsidP="004E6171">
    <w:pPr>
      <w:pStyle w:val="Footer"/>
      <w:ind w:hanging="360"/>
      <w:rPr>
        <w:rFonts w:ascii="Arial" w:hAnsi="Arial" w:cs="Arial"/>
      </w:rPr>
    </w:pPr>
    <w:r w:rsidRPr="006A73EA">
      <w:rPr>
        <w:rFonts w:ascii="Arial" w:hAnsi="Arial" w:cs="Arial"/>
      </w:rPr>
      <w:t xml:space="preserve">Revised </w:t>
    </w:r>
    <w:r>
      <w:rPr>
        <w:rFonts w:ascii="Arial" w:hAnsi="Arial" w:cs="Arial"/>
      </w:rPr>
      <w:t>03</w:t>
    </w:r>
    <w:r w:rsidRPr="006A73EA">
      <w:rPr>
        <w:rFonts w:ascii="Arial" w:hAnsi="Arial" w:cs="Arial"/>
      </w:rPr>
      <w:t>/</w:t>
    </w:r>
    <w:r>
      <w:rPr>
        <w:rFonts w:ascii="Arial" w:hAnsi="Arial" w:cs="Arial"/>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64FA" w14:textId="77777777" w:rsidR="004F1947" w:rsidRDefault="004F1947">
      <w:r>
        <w:separator/>
      </w:r>
    </w:p>
  </w:footnote>
  <w:footnote w:type="continuationSeparator" w:id="0">
    <w:p w14:paraId="1AD5C292" w14:textId="77777777" w:rsidR="004F1947" w:rsidRDefault="004F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C34C" w14:textId="46EB5904" w:rsidR="0037205E" w:rsidRPr="006A73EA" w:rsidRDefault="0077581E" w:rsidP="0037205E">
    <w:pPr>
      <w:pStyle w:val="Header"/>
      <w:ind w:hanging="360"/>
      <w:jc w:val="right"/>
      <w:rPr>
        <w:rFonts w:ascii="Arial" w:hAnsi="Arial" w:cs="Arial"/>
      </w:rPr>
    </w:pPr>
    <w:r>
      <w:rPr>
        <w:noProof/>
      </w:rPr>
      <w:drawing>
        <wp:anchor distT="0" distB="0" distL="114300" distR="114300" simplePos="0" relativeHeight="251660288" behindDoc="0" locked="0" layoutInCell="1" allowOverlap="1" wp14:anchorId="08111D11" wp14:editId="30B5BB9E">
          <wp:simplePos x="0" y="0"/>
          <wp:positionH relativeFrom="margin">
            <wp:posOffset>-295275</wp:posOffset>
          </wp:positionH>
          <wp:positionV relativeFrom="paragraph">
            <wp:posOffset>-285750</wp:posOffset>
          </wp:positionV>
          <wp:extent cx="1952625" cy="570865"/>
          <wp:effectExtent l="0" t="0" r="0" b="0"/>
          <wp:wrapNone/>
          <wp:docPr id="2" name="Picture 1" descr="UK Facilities Management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 Facilities Management 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05E" w:rsidRPr="006A73EA">
      <w:rPr>
        <w:rFonts w:ascii="Arial" w:hAnsi="Arial" w:cs="Arial"/>
      </w:rPr>
      <w:t>UK Design and Construction Standards</w:t>
    </w:r>
  </w:p>
  <w:p w14:paraId="0A9C27CE" w14:textId="60374F98" w:rsidR="00581BF4" w:rsidRPr="0037205E" w:rsidRDefault="00581BF4" w:rsidP="00372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AE4"/>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C8E1A69"/>
    <w:multiLevelType w:val="multilevel"/>
    <w:tmpl w:val="8A22A2A0"/>
    <w:lvl w:ilvl="0">
      <w:start w:val="1"/>
      <w:numFmt w:val="decimal"/>
      <w:suff w:val="space"/>
      <w:lvlText w:val="%1."/>
      <w:lvlJc w:val="left"/>
      <w:pPr>
        <w:ind w:left="360" w:hanging="360"/>
      </w:pPr>
      <w:rPr>
        <w:rFonts w:hint="default"/>
      </w:rPr>
    </w:lvl>
    <w:lvl w:ilvl="1">
      <w:start w:val="1"/>
      <w:numFmt w:val="decimal"/>
      <w:suff w:val="space"/>
      <w:lvlText w:val="%2."/>
      <w:lvlJc w:val="left"/>
      <w:pPr>
        <w:ind w:left="576" w:hanging="360"/>
      </w:pPr>
      <w:rPr>
        <w:rFonts w:hint="default"/>
      </w:rPr>
    </w:lvl>
    <w:lvl w:ilvl="2">
      <w:start w:val="1"/>
      <w:numFmt w:val="decimal"/>
      <w:lvlText w:val="%3."/>
      <w:lvlJc w:val="left"/>
      <w:pPr>
        <w:tabs>
          <w:tab w:val="num" w:pos="432"/>
        </w:tabs>
        <w:ind w:left="792" w:hanging="360"/>
      </w:pPr>
      <w:rPr>
        <w:rFonts w:hint="default"/>
      </w:rPr>
    </w:lvl>
    <w:lvl w:ilvl="3">
      <w:start w:val="1"/>
      <w:numFmt w:val="decimal"/>
      <w:lvlText w:val="%4."/>
      <w:lvlJc w:val="left"/>
      <w:pPr>
        <w:tabs>
          <w:tab w:val="num" w:pos="648"/>
        </w:tabs>
        <w:ind w:left="1008" w:hanging="360"/>
      </w:pPr>
      <w:rPr>
        <w:rFonts w:hint="default"/>
      </w:rPr>
    </w:lvl>
    <w:lvl w:ilvl="4">
      <w:start w:val="1"/>
      <w:numFmt w:val="decimal"/>
      <w:lvlText w:val="%5."/>
      <w:lvlJc w:val="left"/>
      <w:pPr>
        <w:tabs>
          <w:tab w:val="num" w:pos="864"/>
        </w:tabs>
        <w:ind w:left="1224"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63E8197C"/>
    <w:multiLevelType w:val="singleLevel"/>
    <w:tmpl w:val="BCF6D354"/>
    <w:lvl w:ilvl="0">
      <w:start w:val="1"/>
      <w:numFmt w:val="decimal"/>
      <w:lvlText w:val="%1."/>
      <w:lvlJc w:val="left"/>
      <w:pPr>
        <w:tabs>
          <w:tab w:val="num" w:pos="570"/>
        </w:tabs>
        <w:ind w:left="570" w:hanging="570"/>
      </w:pPr>
      <w:rPr>
        <w:rFonts w:hint="default"/>
        <w:u w:val="none"/>
      </w:rPr>
    </w:lvl>
  </w:abstractNum>
  <w:abstractNum w:abstractNumId="3" w15:restartNumberingAfterBreak="0">
    <w:nsid w:val="66201420"/>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41638D6"/>
    <w:multiLevelType w:val="multilevel"/>
    <w:tmpl w:val="C0AAB420"/>
    <w:lvl w:ilvl="0">
      <w:start w:val="1"/>
      <w:numFmt w:val="decimal"/>
      <w:suff w:val="space"/>
      <w:lvlText w:val="%1."/>
      <w:lvlJc w:val="left"/>
      <w:pPr>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2062240459">
    <w:abstractNumId w:val="2"/>
  </w:num>
  <w:num w:numId="2" w16cid:durableId="14117217">
    <w:abstractNumId w:val="4"/>
  </w:num>
  <w:num w:numId="3" w16cid:durableId="1945067082">
    <w:abstractNumId w:val="1"/>
  </w:num>
  <w:num w:numId="4" w16cid:durableId="1269238907">
    <w:abstractNumId w:val="3"/>
  </w:num>
  <w:num w:numId="5" w16cid:durableId="1239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7C"/>
    <w:rsid w:val="000379B2"/>
    <w:rsid w:val="000819C7"/>
    <w:rsid w:val="000A235A"/>
    <w:rsid w:val="000E30AE"/>
    <w:rsid w:val="0018167C"/>
    <w:rsid w:val="0021763B"/>
    <w:rsid w:val="0037205E"/>
    <w:rsid w:val="00410C63"/>
    <w:rsid w:val="00453DDF"/>
    <w:rsid w:val="004601C0"/>
    <w:rsid w:val="004E6171"/>
    <w:rsid w:val="004F1947"/>
    <w:rsid w:val="00547AB0"/>
    <w:rsid w:val="00581BF4"/>
    <w:rsid w:val="005C00F6"/>
    <w:rsid w:val="005D6278"/>
    <w:rsid w:val="0077581E"/>
    <w:rsid w:val="007931D9"/>
    <w:rsid w:val="007D5CF4"/>
    <w:rsid w:val="00823E5C"/>
    <w:rsid w:val="008C715E"/>
    <w:rsid w:val="00A07A7C"/>
    <w:rsid w:val="00A972B5"/>
    <w:rsid w:val="00AD6658"/>
    <w:rsid w:val="00D00115"/>
    <w:rsid w:val="00D252FD"/>
    <w:rsid w:val="00D5030E"/>
    <w:rsid w:val="00DF4A76"/>
    <w:rsid w:val="00DF7843"/>
    <w:rsid w:val="00E4784F"/>
    <w:rsid w:val="00E6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335F"/>
  <w15:chartTrackingRefBased/>
  <w15:docId w15:val="{CE3F4ECD-5BDA-4C7A-917C-7CC5C6AE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jc w:val="both"/>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18167C"/>
    <w:rPr>
      <w:color w:val="0000FF"/>
      <w:u w:val="single"/>
    </w:rPr>
  </w:style>
  <w:style w:type="table" w:styleId="TableGrid">
    <w:name w:val="Table Grid"/>
    <w:basedOn w:val="TableNormal"/>
    <w:uiPriority w:val="39"/>
    <w:rsid w:val="00823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79B2"/>
    <w:rPr>
      <w:rFonts w:ascii="Tahoma" w:hAnsi="Tahoma" w:cs="Tahoma"/>
      <w:sz w:val="16"/>
      <w:szCs w:val="16"/>
    </w:rPr>
  </w:style>
  <w:style w:type="character" w:customStyle="1" w:styleId="HeaderChar">
    <w:name w:val="Header Char"/>
    <w:basedOn w:val="DefaultParagraphFont"/>
    <w:link w:val="Header"/>
    <w:uiPriority w:val="99"/>
    <w:rsid w:val="0037205E"/>
    <w:rPr>
      <w:rFonts w:ascii="Bookman Old Style" w:hAnsi="Bookman Old Style"/>
    </w:rPr>
  </w:style>
  <w:style w:type="character" w:customStyle="1" w:styleId="FooterChar">
    <w:name w:val="Footer Char"/>
    <w:basedOn w:val="DefaultParagraphFont"/>
    <w:link w:val="Footer"/>
    <w:uiPriority w:val="99"/>
    <w:rsid w:val="0037205E"/>
    <w:rPr>
      <w:rFonts w:ascii="Bookman Old Style" w:hAnsi="Bookman Old Style"/>
    </w:rPr>
  </w:style>
  <w:style w:type="paragraph" w:styleId="ListParagraph">
    <w:name w:val="List Paragraph"/>
    <w:basedOn w:val="Normal"/>
    <w:uiPriority w:val="34"/>
    <w:qFormat/>
    <w:rsid w:val="00A07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4248</Characters>
  <Application>Microsoft Office Word</Application>
  <DocSecurity>0</DocSecurity>
  <Lines>98</Lines>
  <Paragraphs>71</Paragraphs>
  <ScaleCrop>false</ScaleCrop>
  <HeadingPairs>
    <vt:vector size="2" baseType="variant">
      <vt:variant>
        <vt:lpstr>Title</vt:lpstr>
      </vt:variant>
      <vt:variant>
        <vt:i4>1</vt:i4>
      </vt:variant>
    </vt:vector>
  </HeadingPairs>
  <TitlesOfParts>
    <vt:vector size="1" baseType="lpstr">
      <vt:lpstr>02605S01 - ELECTRICAL MANHOLES AND COVERS</vt:lpstr>
    </vt:vector>
  </TitlesOfParts>
  <Company>University of Kentucky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02605S01 - ELECTRICAL MANHOLES AND COVERS</dc:title>
  <dc:subject/>
  <dc:creator>RMN</dc:creator>
  <cp:keywords/>
  <dc:description>REVS: DJG 07-01-86; RLM 02-09-89;MAB 10-18-06;MB 11-13-08</dc:description>
  <cp:lastModifiedBy>Jump, Matt</cp:lastModifiedBy>
  <cp:revision>2</cp:revision>
  <cp:lastPrinted>2008-12-05T18:26:00Z</cp:lastPrinted>
  <dcterms:created xsi:type="dcterms:W3CDTF">2026-03-30T17:21:00Z</dcterms:created>
  <dcterms:modified xsi:type="dcterms:W3CDTF">2026-03-30T17:21:00Z</dcterms:modified>
</cp:coreProperties>
</file>